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1284" w14:textId="77777777" w:rsidR="009F0737" w:rsidRDefault="004B4582">
      <w:pPr>
        <w:spacing w:after="0" w:line="259" w:lineRule="auto"/>
        <w:ind w:left="0" w:firstLine="0"/>
      </w:pPr>
      <w:r>
        <w:rPr>
          <w:rFonts w:ascii="Cambria" w:eastAsia="Cambria" w:hAnsi="Cambria" w:cs="Cambria"/>
          <w:color w:val="17365D"/>
          <w:sz w:val="52"/>
        </w:rPr>
        <w:t xml:space="preserve">Federal Funded Program Descriptions </w:t>
      </w:r>
    </w:p>
    <w:p w14:paraId="79160FB1" w14:textId="77777777" w:rsidR="009F0737" w:rsidRDefault="004B4582">
      <w:pPr>
        <w:spacing w:after="343" w:line="259" w:lineRule="auto"/>
        <w:ind w:left="-29" w:right="-37" w:firstLine="0"/>
      </w:pPr>
      <w:r>
        <w:rPr>
          <w:noProof/>
        </w:rPr>
        <mc:AlternateContent>
          <mc:Choice Requires="wpg">
            <w:drawing>
              <wp:inline distT="0" distB="0" distL="0" distR="0" wp14:anchorId="5C8F2358" wp14:editId="7A4BC334">
                <wp:extent cx="5981065" cy="12192"/>
                <wp:effectExtent l="0" t="0" r="0" b="0"/>
                <wp:docPr id="1918" name="Group 1918"/>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2138" name="Shape 2138"/>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918" style="width:470.95pt;height:0.960022pt;mso-position-horizontal-relative:char;mso-position-vertical-relative:line" coordsize="59810,121">
                <v:shape id="Shape 2139" style="position:absolute;width:59810;height:121;left:0;top:0;" coordsize="5981065,12192" path="m0,0l5981065,0l5981065,12192l0,12192l0,0">
                  <v:stroke weight="0pt" endcap="flat" joinstyle="miter" miterlimit="10" on="false" color="#000000" opacity="0"/>
                  <v:fill on="true" color="#4f81bd"/>
                </v:shape>
              </v:group>
            </w:pict>
          </mc:Fallback>
        </mc:AlternateContent>
      </w:r>
    </w:p>
    <w:p w14:paraId="5E64ECEA" w14:textId="77777777" w:rsidR="009F0737" w:rsidRDefault="004B4582">
      <w:pPr>
        <w:spacing w:after="215" w:line="259" w:lineRule="auto"/>
        <w:ind w:left="0" w:firstLine="0"/>
      </w:pPr>
      <w:r>
        <w:t xml:space="preserve"> </w:t>
      </w:r>
    </w:p>
    <w:p w14:paraId="60E1B156" w14:textId="77777777" w:rsidR="009F0737" w:rsidRDefault="004B4582">
      <w:pPr>
        <w:ind w:left="355"/>
      </w:pPr>
      <w:r>
        <w:rPr>
          <w:b/>
          <w:u w:val="single" w:color="000000"/>
        </w:rPr>
        <w:t>Title I - Disadvantaged</w:t>
      </w:r>
      <w:r>
        <w:t xml:space="preserve"> – </w:t>
      </w:r>
      <w:r>
        <w:t>Improving the academic achievement of the disadvantaged. The purpose of this title is to ensure that all children have a fair, equal, and significant opportunity to obtain a high-quality</w:t>
      </w:r>
      <w:bookmarkStart w:id="0" w:name="_GoBack"/>
      <w:bookmarkEnd w:id="0"/>
      <w:r>
        <w:t xml:space="preserve"> education and reach, at a minimum, proficiency on challenging State ac</w:t>
      </w:r>
      <w:r>
        <w:t xml:space="preserve">ademic achievement standards and state academic assessments through targeted supplemental instruction and schoolwide support. </w:t>
      </w:r>
    </w:p>
    <w:p w14:paraId="4D5D1266" w14:textId="77777777" w:rsidR="009F0737" w:rsidRDefault="004B4582">
      <w:pPr>
        <w:spacing w:after="262" w:line="259" w:lineRule="auto"/>
        <w:ind w:left="360" w:firstLine="0"/>
      </w:pPr>
      <w:r>
        <w:rPr>
          <w:b/>
          <w:u w:val="single" w:color="000000"/>
        </w:rPr>
        <w:t>Title I – Other</w:t>
      </w:r>
      <w:r>
        <w:t xml:space="preserve"> –  </w:t>
      </w:r>
    </w:p>
    <w:p w14:paraId="0697AAF3" w14:textId="77777777" w:rsidR="009F0737" w:rsidRDefault="004B4582">
      <w:pPr>
        <w:numPr>
          <w:ilvl w:val="0"/>
          <w:numId w:val="1"/>
        </w:numPr>
        <w:spacing w:after="12"/>
        <w:ind w:hanging="360"/>
      </w:pPr>
      <w:r>
        <w:rPr>
          <w:u w:val="single" w:color="000000"/>
        </w:rPr>
        <w:t>Program Improvement Funds</w:t>
      </w:r>
      <w:r>
        <w:t>.  The purpose of these funds is to support school improvement efforts through profe</w:t>
      </w:r>
      <w:r>
        <w:t xml:space="preserve">ssional development which can include instructional coaches. </w:t>
      </w:r>
    </w:p>
    <w:p w14:paraId="0385E23B" w14:textId="77777777" w:rsidR="009F0737" w:rsidRDefault="004B4582">
      <w:pPr>
        <w:numPr>
          <w:ilvl w:val="0"/>
          <w:numId w:val="1"/>
        </w:numPr>
        <w:spacing w:after="13"/>
        <w:ind w:hanging="360"/>
      </w:pPr>
      <w:r>
        <w:rPr>
          <w:u w:val="single" w:color="000000"/>
        </w:rPr>
        <w:t>School Improvement Grants (SIG).</w:t>
      </w:r>
      <w:r>
        <w:t xml:space="preserve"> - The purpose of the School Improvement Grant (SIG) program is to provide funding which supports Maine’s persistently lowest-achieving Title I schools, identifie</w:t>
      </w:r>
      <w:r>
        <w:t>d as Priority status under Maine’s approved ESEA Accountability plan.  Schools awarded competitive grant funding under this program demonstrate the greatest need for funds and the strongest commitment to use the funds in a way that substantially raises the</w:t>
      </w:r>
      <w:r>
        <w:t xml:space="preserve"> achievement of their students.  SIG funds can be used to support the increased academic performance of students by providing additional learning opportunities (extended day/year programs), more effective teachers (professional development, teacher incenti</w:t>
      </w:r>
      <w:r>
        <w:t xml:space="preserve">ves) and additional classroom supports (staffing, materials, books). </w:t>
      </w:r>
    </w:p>
    <w:p w14:paraId="42449C84" w14:textId="77777777" w:rsidR="009F0737" w:rsidRDefault="004B4582">
      <w:pPr>
        <w:numPr>
          <w:ilvl w:val="0"/>
          <w:numId w:val="1"/>
        </w:numPr>
        <w:spacing w:after="0"/>
        <w:ind w:hanging="360"/>
      </w:pPr>
      <w:r>
        <w:rPr>
          <w:u w:val="single" w:color="000000"/>
        </w:rPr>
        <w:t>Title I, Part D</w:t>
      </w:r>
      <w:r>
        <w:t xml:space="preserve"> - The purpose of this part is to improve educational and transitional services for children and youth in local and State institutions for neglected or delinquent children</w:t>
      </w:r>
      <w:r>
        <w:t xml:space="preserve"> and youth so that such children and youth have the opportunity to meet the same challenging State academic content standards and challenging State student academic achievement standards that all children in the State are expected to meet. </w:t>
      </w:r>
    </w:p>
    <w:p w14:paraId="5D355ECD" w14:textId="77777777" w:rsidR="009F0737" w:rsidRDefault="004B4582">
      <w:pPr>
        <w:spacing w:after="0" w:line="259" w:lineRule="auto"/>
        <w:ind w:left="1080" w:firstLine="0"/>
      </w:pPr>
      <w:r>
        <w:t xml:space="preserve"> </w:t>
      </w:r>
    </w:p>
    <w:p w14:paraId="6382B90F" w14:textId="77777777" w:rsidR="009F0737" w:rsidRDefault="004B4582">
      <w:pPr>
        <w:ind w:left="355"/>
      </w:pPr>
      <w:r>
        <w:rPr>
          <w:b/>
          <w:u w:val="single" w:color="000000"/>
        </w:rPr>
        <w:t>Title II</w:t>
      </w:r>
      <w:r>
        <w:t xml:space="preserve"> – Pr</w:t>
      </w:r>
      <w:r>
        <w:t>eparing, training, and recruiting High Quality teachers and principals. The purpose of this title is to provide grants to State educational agencies, local educational agencies, State agencies for higher education, and eligible partnerships in order to inc</w:t>
      </w:r>
      <w:r>
        <w:t>rease student academic achievement through strategies such as class size reduction, improving teacher and principal quality, and increasing the number of highly qualified teachers in the classroom and highly qualified principals and assistant principals in</w:t>
      </w:r>
      <w:r>
        <w:t xml:space="preserve"> schools; and hold local educational agencies and schools accountable for improvements in student academic achievement. </w:t>
      </w:r>
    </w:p>
    <w:p w14:paraId="29026571" w14:textId="77777777" w:rsidR="009F0737" w:rsidRDefault="004B4582">
      <w:pPr>
        <w:ind w:left="355"/>
      </w:pPr>
      <w:r>
        <w:rPr>
          <w:b/>
          <w:u w:val="single" w:color="000000"/>
        </w:rPr>
        <w:t>Title III</w:t>
      </w:r>
      <w:r>
        <w:t xml:space="preserve"> – Language instruction for Limited English Proficient and Immigrant students. LEAs are expected to use Title III funding to c</w:t>
      </w:r>
      <w:r>
        <w:t xml:space="preserve">reate or further develop language instruction courses that help </w:t>
      </w:r>
      <w:r>
        <w:lastRenderedPageBreak/>
        <w:t>LEP students meet academic standards. The LEAs and SEAs who receive Title III funding are responsible for the yearly progress of their students with respect to development of language proficie</w:t>
      </w:r>
      <w:r>
        <w:t xml:space="preserve">ncy as well as meeting their grade-level academic standards. LEP students are measured against annual development objectives in order to receive funding. </w:t>
      </w:r>
    </w:p>
    <w:p w14:paraId="5BFA7697" w14:textId="77777777" w:rsidR="009F0737" w:rsidRDefault="004B4582">
      <w:pPr>
        <w:ind w:left="355"/>
      </w:pPr>
      <w:r>
        <w:rPr>
          <w:b/>
          <w:u w:val="single" w:color="000000"/>
        </w:rPr>
        <w:t>Title IV-B</w:t>
      </w:r>
      <w:r>
        <w:t xml:space="preserve"> - Better known as the 21st Century Community Learning Centers (21st CCLC) program, this pr</w:t>
      </w:r>
      <w:r>
        <w:t>ogram supports the creation of community learning centers that provide academic enrichment opportunities during non-school hours (i.e. before school, after school, during summer and other school vacations) for children, particularly those who attend high-p</w:t>
      </w:r>
      <w:r>
        <w:t>overty and low-performing schools. The program helps students meet state and local learning standards in core academic subjects, such as reading and math, by offering students a broad array of enrichment activities that complement their regular academic pr</w:t>
      </w:r>
      <w:r>
        <w:t xml:space="preserve">ograms.  This program also offers literacy and other educational services to the families of participating children. </w:t>
      </w:r>
    </w:p>
    <w:p w14:paraId="32A47731" w14:textId="77777777" w:rsidR="009F0737" w:rsidRDefault="004B4582">
      <w:pPr>
        <w:ind w:left="355"/>
      </w:pPr>
      <w:r>
        <w:rPr>
          <w:b/>
          <w:u w:val="single" w:color="000000"/>
        </w:rPr>
        <w:t>Title VI</w:t>
      </w:r>
      <w:r>
        <w:t xml:space="preserve"> – The purpose of this title is to provide grants to States to enable the States to pay the costs of the development of the additi</w:t>
      </w:r>
      <w:r>
        <w:t>onal State assessments and standards required by section 1111(b), which may include the costs of working in voluntary partnerships with other States, at the sole discretion of each such State; and if a State has developed the assessments and standards requ</w:t>
      </w:r>
      <w:r>
        <w:t xml:space="preserve">ired by section 1111(b), to administer those assessments or to carry out other activities described in this subpart and other activities related to ensuring that the State's schools and local educational agencies are held accountable for results. </w:t>
      </w:r>
    </w:p>
    <w:p w14:paraId="6A7D61B3" w14:textId="77777777" w:rsidR="009F0737" w:rsidRDefault="004B4582">
      <w:pPr>
        <w:ind w:left="355"/>
      </w:pPr>
      <w:r>
        <w:rPr>
          <w:b/>
          <w:u w:val="single" w:color="000000"/>
        </w:rPr>
        <w:t>CTE (Per</w:t>
      </w:r>
      <w:r>
        <w:rPr>
          <w:b/>
          <w:u w:val="single" w:color="000000"/>
        </w:rPr>
        <w:t>kins)</w:t>
      </w:r>
      <w:r>
        <w:t xml:space="preserve"> –  Carl D. Perkins Career and Technical Education Act of 2006--A federal act to improve career technical education programs; integrate academic and career technical instruction; serve special populations, including promoting gender equity; and to pre</w:t>
      </w:r>
      <w:r>
        <w:t>pare CTE students for high skill, high wage, high demand occupations in current or emerging professions.  Programs include competency-based applied learning which contributes to an individual's academic knowledge, higher-order reasoning, problem solving sk</w:t>
      </w:r>
      <w:r>
        <w:t xml:space="preserve">ills, and the occupational-specific skills necessary for economic independence as a productive and contributing member of society. </w:t>
      </w:r>
    </w:p>
    <w:p w14:paraId="6719F421" w14:textId="77777777" w:rsidR="009F0737" w:rsidRDefault="004B4582">
      <w:pPr>
        <w:ind w:left="355"/>
      </w:pPr>
      <w:r>
        <w:rPr>
          <w:b/>
          <w:u w:val="single" w:color="000000"/>
        </w:rPr>
        <w:t>I.D.E.A.</w:t>
      </w:r>
      <w:r>
        <w:t xml:space="preserve"> - IDEA Part B is a federal grant program that provides funds to ensure that eligible students ages 3 through 20 wit</w:t>
      </w:r>
      <w:r>
        <w:t xml:space="preserve">h disabilities receive a free and appropriate public education that includes special education and related services designed to meet their individual needs. </w:t>
      </w:r>
    </w:p>
    <w:p w14:paraId="69B7899A" w14:textId="77777777" w:rsidR="004B4582" w:rsidRDefault="004B4582" w:rsidP="004B4582">
      <w:pPr>
        <w:ind w:left="355"/>
      </w:pPr>
      <w:r w:rsidRPr="004B4582">
        <w:rPr>
          <w:b/>
          <w:u w:val="single"/>
        </w:rPr>
        <w:t>CRF</w:t>
      </w:r>
      <w:r>
        <w:t xml:space="preserve"> </w:t>
      </w:r>
      <w:r>
        <w:t>(</w:t>
      </w:r>
      <w:r>
        <w:t>Coronavirus Relief Fund</w:t>
      </w:r>
      <w:r>
        <w:t xml:space="preserve">) - </w:t>
      </w:r>
      <w:r w:rsidRPr="004B4582">
        <w:t>As part of the Coronavirus Aid, Relief, and Economic Security (CARES) Act, Congress appropriated $100,000,000 to the U.S. Department of Education (Department) for Project SERV grants to prevent, prepare for, and respond to the novel Coronavirus 2019 (COVID-19) disruptions.</w:t>
      </w:r>
    </w:p>
    <w:p w14:paraId="4126BD33" w14:textId="77777777" w:rsidR="004B4582" w:rsidRDefault="004B4582" w:rsidP="004B4582">
      <w:pPr>
        <w:ind w:left="355"/>
      </w:pPr>
    </w:p>
    <w:p w14:paraId="063528B8" w14:textId="77777777" w:rsidR="004B4582" w:rsidRDefault="004B4582">
      <w:pPr>
        <w:ind w:left="355"/>
      </w:pPr>
    </w:p>
    <w:p w14:paraId="4067D07E" w14:textId="77777777" w:rsidR="004B4582" w:rsidRPr="004B4582" w:rsidRDefault="004B4582" w:rsidP="004B4582">
      <w:pPr>
        <w:ind w:left="355"/>
        <w:rPr>
          <w:u w:color="000000"/>
        </w:rPr>
      </w:pPr>
      <w:r>
        <w:rPr>
          <w:b/>
          <w:u w:val="single" w:color="000000"/>
        </w:rPr>
        <w:lastRenderedPageBreak/>
        <w:t>ESSER</w:t>
      </w:r>
      <w:r>
        <w:rPr>
          <w:u w:color="000000"/>
        </w:rPr>
        <w:t xml:space="preserve"> (</w:t>
      </w:r>
      <w:r w:rsidRPr="004B4582">
        <w:rPr>
          <w:u w:color="000000"/>
        </w:rPr>
        <w:t>Elementary and Secondary School Emergency Relief Fund</w:t>
      </w:r>
      <w:r>
        <w:rPr>
          <w:u w:color="000000"/>
        </w:rPr>
        <w:t xml:space="preserve">) - </w:t>
      </w:r>
      <w:r w:rsidRPr="004B4582">
        <w:rPr>
          <w:u w:color="000000"/>
        </w:rPr>
        <w:t>Congress set aside approximately $13.2 billion of the $30.75 billion allotted to the Education Stabilization Fund through the CARES Act for the Elementary and Secondary School Emergency Relief Fund (ESSER Fund). The Department will award these grants ­to State educational agencies (SEAs) for the purpose of providing local educational agencies (LEAs), including charter schools that are LEAs, with emergency relief funds to address the impact that COVID-19 has had, and continues to have, on elementary and secondary schools across the Nation.</w:t>
      </w:r>
    </w:p>
    <w:p w14:paraId="69B64DB5" w14:textId="77777777" w:rsidR="004B4582" w:rsidRPr="004B4582" w:rsidRDefault="004B4582" w:rsidP="004B4582">
      <w:pPr>
        <w:ind w:left="355"/>
      </w:pPr>
      <w:r w:rsidRPr="004B4582">
        <w:rPr>
          <w:u w:color="000000"/>
        </w:rPr>
        <w:t>ESSER Fund awards to SEAs are in the same proportion as each State received funds under Part A of Title I of the Elementary and Secondary Education Act of 1965, as amended, in fiscal year 2019.</w:t>
      </w:r>
    </w:p>
    <w:p w14:paraId="11D01417" w14:textId="77777777" w:rsidR="009F0737" w:rsidRDefault="004B4582">
      <w:pPr>
        <w:ind w:left="355"/>
      </w:pPr>
      <w:r>
        <w:rPr>
          <w:b/>
          <w:u w:val="single" w:color="000000"/>
        </w:rPr>
        <w:t>Other Federal Funding</w:t>
      </w:r>
      <w:r>
        <w:t xml:space="preserve"> - </w:t>
      </w:r>
      <w:r>
        <w:t xml:space="preserve">Other Federal Funding includes (but not limited to) funding for School Nutrition, McKinney Homeless, among other federal grants that have specific restrictions on the use of funding. </w:t>
      </w:r>
    </w:p>
    <w:p w14:paraId="769F6914" w14:textId="77777777" w:rsidR="009F0737" w:rsidRDefault="004B4582">
      <w:pPr>
        <w:spacing w:after="0" w:line="259" w:lineRule="auto"/>
        <w:ind w:left="0" w:firstLine="0"/>
      </w:pPr>
      <w:r>
        <w:t xml:space="preserve"> </w:t>
      </w:r>
    </w:p>
    <w:sectPr w:rsidR="009F0737">
      <w:headerReference w:type="even" r:id="rId11"/>
      <w:headerReference w:type="default" r:id="rId12"/>
      <w:footerReference w:type="default" r:id="rId13"/>
      <w:headerReference w:type="first" r:id="rId14"/>
      <w:pgSz w:w="12240" w:h="15840"/>
      <w:pgMar w:top="1481" w:right="1446" w:bottom="158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E21E5" w14:textId="77777777" w:rsidR="004B4582" w:rsidRDefault="004B4582" w:rsidP="004B4582">
      <w:pPr>
        <w:spacing w:after="0" w:line="240" w:lineRule="auto"/>
      </w:pPr>
      <w:r>
        <w:separator/>
      </w:r>
    </w:p>
  </w:endnote>
  <w:endnote w:type="continuationSeparator" w:id="0">
    <w:p w14:paraId="7818BB3F" w14:textId="77777777" w:rsidR="004B4582" w:rsidRDefault="004B4582" w:rsidP="004B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55691"/>
      <w:docPartObj>
        <w:docPartGallery w:val="Page Numbers (Bottom of Page)"/>
        <w:docPartUnique/>
      </w:docPartObj>
    </w:sdtPr>
    <w:sdtEndPr>
      <w:rPr>
        <w:color w:val="7F7F7F" w:themeColor="background1" w:themeShade="7F"/>
        <w:spacing w:val="60"/>
      </w:rPr>
    </w:sdtEndPr>
    <w:sdtContent>
      <w:p w14:paraId="4DB64920" w14:textId="77777777" w:rsidR="004B4582" w:rsidRDefault="004B458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5203D45" w14:textId="77777777" w:rsidR="004B4582" w:rsidRDefault="004B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4B4BB" w14:textId="77777777" w:rsidR="004B4582" w:rsidRDefault="004B4582" w:rsidP="004B4582">
      <w:pPr>
        <w:spacing w:after="0" w:line="240" w:lineRule="auto"/>
      </w:pPr>
      <w:r>
        <w:separator/>
      </w:r>
    </w:p>
  </w:footnote>
  <w:footnote w:type="continuationSeparator" w:id="0">
    <w:p w14:paraId="060CBDD8" w14:textId="77777777" w:rsidR="004B4582" w:rsidRDefault="004B4582" w:rsidP="004B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3F00" w14:textId="77777777" w:rsidR="004B4582" w:rsidRDefault="004B4582">
    <w:pPr>
      <w:pStyle w:val="Header"/>
    </w:pPr>
    <w:r>
      <w:rPr>
        <w:noProof/>
      </w:rPr>
      <w:pict w14:anchorId="2B784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19969" o:spid="_x0000_s2050" type="#_x0000_t75" style="position:absolute;left:0;text-align:left;margin-left:0;margin-top:0;width:467.35pt;height:426.5pt;z-index:-251657216;mso-position-horizontal:center;mso-position-horizontal-relative:margin;mso-position-vertical:center;mso-position-vertical-relative:margin" o:allowincell="f">
          <v:imagedata r:id="rId1" o:title="Shirt Ar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53C4" w14:textId="77777777" w:rsidR="004B4582" w:rsidRDefault="004B4582">
    <w:pPr>
      <w:pStyle w:val="Header"/>
    </w:pPr>
    <w:r>
      <w:rPr>
        <w:noProof/>
      </w:rPr>
      <w:pict w14:anchorId="3FA34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19970" o:spid="_x0000_s2051" type="#_x0000_t75" style="position:absolute;left:0;text-align:left;margin-left:0;margin-top:0;width:467.35pt;height:426.5pt;z-index:-251656192;mso-position-horizontal:center;mso-position-horizontal-relative:margin;mso-position-vertical:center;mso-position-vertical-relative:margin" o:allowincell="f">
          <v:imagedata r:id="rId1" o:title="Shirt Ar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91DE" w14:textId="77777777" w:rsidR="004B4582" w:rsidRDefault="004B4582">
    <w:pPr>
      <w:pStyle w:val="Header"/>
    </w:pPr>
    <w:r>
      <w:rPr>
        <w:noProof/>
      </w:rPr>
      <w:pict w14:anchorId="758CE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19968" o:spid="_x0000_s2049" type="#_x0000_t75" style="position:absolute;left:0;text-align:left;margin-left:0;margin-top:0;width:467.35pt;height:426.5pt;z-index:-251658240;mso-position-horizontal:center;mso-position-horizontal-relative:margin;mso-position-vertical:center;mso-position-vertical-relative:margin" o:allowincell="f">
          <v:imagedata r:id="rId1" o:title="Shirt Ar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645A7"/>
    <w:multiLevelType w:val="hybridMultilevel"/>
    <w:tmpl w:val="A7C6C2EC"/>
    <w:lvl w:ilvl="0" w:tplc="622A6BE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A193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A249D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8A869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2381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E0BF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EF94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C26A2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D84D0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37"/>
    <w:rsid w:val="004B4582"/>
    <w:rsid w:val="009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83441"/>
  <w15:docId w15:val="{EF129EC1-5BF3-4870-96CE-DDB19B9F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8" w:line="276"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82"/>
    <w:rPr>
      <w:rFonts w:ascii="Calibri" w:eastAsia="Calibri" w:hAnsi="Calibri" w:cs="Calibri"/>
      <w:color w:val="000000"/>
    </w:rPr>
  </w:style>
  <w:style w:type="paragraph" w:styleId="Footer">
    <w:name w:val="footer"/>
    <w:basedOn w:val="Normal"/>
    <w:link w:val="FooterChar"/>
    <w:uiPriority w:val="99"/>
    <w:unhideWhenUsed/>
    <w:rsid w:val="004B4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8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F3ACB8C777549973914D3DC6E4075" ma:contentTypeVersion="13" ma:contentTypeDescription="Create a new document." ma:contentTypeScope="" ma:versionID="6c4b5bcae53dca9a0774619def5b71bc">
  <xsd:schema xmlns:xsd="http://www.w3.org/2001/XMLSchema" xmlns:xs="http://www.w3.org/2001/XMLSchema" xmlns:p="http://schemas.microsoft.com/office/2006/metadata/properties" xmlns:ns1="http://schemas.microsoft.com/sharepoint/v3" xmlns:ns3="c1f33983-1209-4184-8b99-dda70068cd0a" xmlns:ns4="04dc0c77-8b66-4ee9-a4ee-7ef2e6750cc6" targetNamespace="http://schemas.microsoft.com/office/2006/metadata/properties" ma:root="true" ma:fieldsID="d058c0155175bdd2455bca95b486fa32" ns1:_="" ns3:_="" ns4:_="">
    <xsd:import namespace="http://schemas.microsoft.com/sharepoint/v3"/>
    <xsd:import namespace="c1f33983-1209-4184-8b99-dda70068cd0a"/>
    <xsd:import namespace="04dc0c77-8b66-4ee9-a4ee-7ef2e6750c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33983-1209-4184-8b99-dda70068c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c0c77-8b66-4ee9-a4ee-7ef2e6750c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A656-FC96-4222-9612-59CDE04B0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f33983-1209-4184-8b99-dda70068cd0a"/>
    <ds:schemaRef ds:uri="04dc0c77-8b66-4ee9-a4ee-7ef2e675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DED3A-5FCA-4A6C-88D5-D13AE85E6DE4}">
  <ds:schemaRefs>
    <ds:schemaRef ds:uri="http://schemas.microsoft.com/sharepoint/v3/contenttype/forms"/>
  </ds:schemaRefs>
</ds:datastoreItem>
</file>

<file path=customXml/itemProps3.xml><?xml version="1.0" encoding="utf-8"?>
<ds:datastoreItem xmlns:ds="http://schemas.openxmlformats.org/officeDocument/2006/customXml" ds:itemID="{3E934C29-5BBF-4F78-A906-BFAFF28A6C5F}">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
    <ds:schemaRef ds:uri="04dc0c77-8b66-4ee9-a4ee-7ef2e6750cc6"/>
    <ds:schemaRef ds:uri="c1f33983-1209-4184-8b99-dda70068cd0a"/>
    <ds:schemaRef ds:uri="http://purl.org/dc/dcmitype/"/>
  </ds:schemaRefs>
</ds:datastoreItem>
</file>

<file path=customXml/itemProps4.xml><?xml version="1.0" encoding="utf-8"?>
<ds:datastoreItem xmlns:ds="http://schemas.openxmlformats.org/officeDocument/2006/customXml" ds:itemID="{D4DB5E9E-CBDA-42DE-AA2C-08039126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Richard</dc:creator>
  <cp:keywords/>
  <cp:lastModifiedBy>Mitchell, Drew</cp:lastModifiedBy>
  <cp:revision>2</cp:revision>
  <dcterms:created xsi:type="dcterms:W3CDTF">2020-08-04T12:40:00Z</dcterms:created>
  <dcterms:modified xsi:type="dcterms:W3CDTF">2020-08-04T12:40:00Z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0x0101007B9F3ACB8C777549973914D3DC6E4075</vt:lpwstr>
  </property>
</Properties>
</file>